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82750C">
      <w:pPr>
        <w:pStyle w:val="ConsPlusNormal"/>
        <w:jc w:val="center"/>
        <w:rPr>
          <w:b/>
          <w:bCs/>
        </w:rPr>
      </w:pPr>
    </w:p>
    <w:p w:rsidR="0082750C" w:rsidRDefault="004F04BC">
      <w:pPr>
        <w:pStyle w:val="ConsPlusNormal"/>
        <w:jc w:val="center"/>
        <w:rPr>
          <w:b/>
          <w:bCs/>
        </w:rPr>
      </w:pPr>
      <w:r>
        <w:rPr>
          <w:b/>
          <w:bCs/>
        </w:rPr>
        <w:t>Об индексации ставок тарифов, сборов и платы за услуги, связанные с перевозкой грузов и предоставлением услуг инфраструктуры, выполняемые ОАО «АК «Железные дороги Якутии»</w:t>
      </w:r>
    </w:p>
    <w:p w:rsidR="0082750C" w:rsidRDefault="0082750C">
      <w:pPr>
        <w:pStyle w:val="ConsPlusNormal"/>
        <w:jc w:val="center"/>
      </w:pPr>
    </w:p>
    <w:p w:rsidR="0082750C" w:rsidRDefault="004F04BC">
      <w:pPr>
        <w:pStyle w:val="ConsPlusNormal"/>
        <w:spacing w:line="360" w:lineRule="auto"/>
        <w:ind w:firstLine="540"/>
        <w:jc w:val="both"/>
      </w:pPr>
      <w:r>
        <w:t>В соответствии с Федеральным законом от 17 августа 1995 года № 147-ФЗ «О естественных монополиях» (Собрание законодательства Российской Федерации, 1995, № 34, ст. 3426; 2001, № 33 (часть 1), ст. 3429; 2002, № 1 (часть 1), ст. 2; 2003, № 2, ст. 168; № 13, с</w:t>
      </w:r>
      <w:r>
        <w:t xml:space="preserve">т. 1181; 2004, № 27,  ст. 2711; 2006, № 1, ст. 10; № 19, ст. 2063; 2007, № 1 (часть 1), ст. 21; № 43, ст. 5084; № 46, ст. 5557; 2008, № 52 (часть 1), ст. 6236; 2011, № 29, ст. 4281; № 30 (часть 1), № 30 (часть 1), ст. 4590, ст. 4596; № 50, ст. 7343; 2012, </w:t>
      </w:r>
      <w:r>
        <w:t>№ 26, ст. 3446; № 31, ст. 4321; № 53 (часть 1), ст. 7616; 2015, № 41 (часть I) ст. 5629), Указом Президента Российской Федерации от 21.07.2015 № 373 «О некоторых вопросах государственного управления и контроля в сфере антимонопольного и тарифного регулиров</w:t>
      </w:r>
      <w:r>
        <w:t>ания» (Собрание законодательства Российской Федерации, 2015, № 30, ст. 4571), Положением о Федеральной антимонопольной службе, утвержденным постановлением Правительства Российской Федерации от 30 июня 2004 года № 331 (Собрание законодательства Российской Ф</w:t>
      </w:r>
      <w:r>
        <w:t>едерации,  2004, № 31, ст. 3259; 2006, № 45, ст. 4706; № 49, ст. 5223; 2007,№ 7, ст. 903; 2008, № 13, ст. 1316; № 44, ст. 5089; 2009, № 2, ст. 248; № 3, ст. 378; № 39, ст. 4613; 2010, № 9, ст. 960; № 25, ст. 3181; 2011, № 14, ст. 1935; № 18, ст. 2645; № 44</w:t>
      </w:r>
      <w:r>
        <w:t xml:space="preserve">, ст. 6269; 2012, № 27, ст. 3741; № 39, ст. 5283; № 52, ст. 7518; 2013, № 35, ст. 4514; № 36, ст. 4578; № 45, ст. 5822; 2014, № 35, ст. 4774; 2015, № 1, ст. 279; № 10, ст. 1543; № 37 ст. 5153; № 44 ст. 6133), </w:t>
      </w:r>
      <w:r>
        <w:lastRenderedPageBreak/>
        <w:t>постановлением Правительства Российской Федерац</w:t>
      </w:r>
      <w:r>
        <w:t>ии от 5 августа 2009 года № 643 «О государственном регулировании тарифов, сборов и платы в отношении работ (услуг) субъектов естественных монополий в сфере железнодорожных перевозок» (Собрание законодательства Российской Федерации, 2009, № 32, ст. 4051; 20</w:t>
      </w:r>
      <w:r>
        <w:t>13, № 27, ст. 3602; 2015 г., № 37, ст. 5153) приказываю:</w:t>
      </w:r>
    </w:p>
    <w:p w:rsidR="0082750C" w:rsidRDefault="004F04BC">
      <w:pPr>
        <w:pStyle w:val="ConsPlusNormal"/>
        <w:numPr>
          <w:ilvl w:val="1"/>
          <w:numId w:val="3"/>
        </w:numPr>
        <w:spacing w:line="360" w:lineRule="auto"/>
        <w:ind w:left="0"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Установить индексы к ставкам тарифов, сборов и платы на перевозки грузов и порожних собственных (арендованных) вагонов и контейнеров, а также на услуги инфраструктуры, определяемым в соответствии с п</w:t>
      </w:r>
      <w:r>
        <w:rPr>
          <w:rFonts w:eastAsia="Times New Roman"/>
          <w:lang w:eastAsia="ru-RU"/>
        </w:rPr>
        <w:t xml:space="preserve">риложением к приказу ФСТ России от 23 октября 2007 года № 263-т/1 «Об утверждении тарифов, сборов и платы за услуги, связанные с перевозкой грузов и предоставлением услуг инфраструктуры, выполняемые ОАО «АК «Железные дороги Якутии», и правил их применения </w:t>
      </w:r>
      <w:r>
        <w:rPr>
          <w:rFonts w:eastAsia="Times New Roman"/>
          <w:lang w:eastAsia="ru-RU"/>
        </w:rPr>
        <w:t>(Тарифное руководство)» (далее - Тарифное руководство) (зарегистрирован Минюстом России 7 декабря 2007 года, регистрационный № 10657), с изменениями и дополнениями, внесенными приказом ФСТ России от 6 декабря 2011 года № 322-т/7 (зарегистрирован Минюстом Р</w:t>
      </w:r>
      <w:r>
        <w:rPr>
          <w:rFonts w:eastAsia="Times New Roman"/>
          <w:lang w:eastAsia="ru-RU"/>
        </w:rPr>
        <w:t>оссии 14 декабря 2011 года, регистрационный № 22612), согласно приложению к настоящему приказу.</w:t>
      </w:r>
    </w:p>
    <w:p w:rsidR="0082750C" w:rsidRDefault="004F04BC">
      <w:pPr>
        <w:pStyle w:val="ConsPlusNormal"/>
        <w:numPr>
          <w:ilvl w:val="1"/>
          <w:numId w:val="3"/>
        </w:numPr>
        <w:spacing w:line="360" w:lineRule="auto"/>
        <w:ind w:left="0"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Указанные в приложении к настоящему приказу индексы не применяются к ставкам сбора за объявленную ценность груза.</w:t>
      </w:r>
    </w:p>
    <w:p w:rsidR="0082750C" w:rsidRDefault="004F04BC">
      <w:pPr>
        <w:pStyle w:val="ConsPlusNormal"/>
        <w:numPr>
          <w:ilvl w:val="1"/>
          <w:numId w:val="3"/>
        </w:numPr>
        <w:spacing w:line="360" w:lineRule="auto"/>
        <w:ind w:left="0" w:firstLine="540"/>
        <w:jc w:val="both"/>
      </w:pPr>
      <w:r>
        <w:rPr>
          <w:rFonts w:eastAsia="Times New Roman"/>
          <w:lang w:eastAsia="ru-RU"/>
        </w:rPr>
        <w:t>Признать не подлежащим применению приказ ФСТ Р</w:t>
      </w:r>
      <w:r>
        <w:rPr>
          <w:rFonts w:eastAsia="Times New Roman"/>
          <w:lang w:eastAsia="ru-RU"/>
        </w:rPr>
        <w:t>оссии</w:t>
      </w:r>
      <w:r>
        <w:rPr>
          <w:rFonts w:ascii="Calibri" w:hAnsi="Calibri" w:cs="Calibri"/>
          <w:sz w:val="22"/>
          <w:szCs w:val="22"/>
          <w:lang w:eastAsia="ru-RU"/>
        </w:rPr>
        <w:t xml:space="preserve"> </w:t>
      </w:r>
      <w:r>
        <w:rPr>
          <w:rFonts w:eastAsia="Times New Roman"/>
        </w:rPr>
        <w:t>от 24 декабря 2013 года № 254-т/</w:t>
      </w:r>
      <w:proofErr w:type="gramStart"/>
      <w:r>
        <w:rPr>
          <w:rFonts w:eastAsia="Times New Roman"/>
        </w:rPr>
        <w:t>3  «</w:t>
      </w:r>
      <w:proofErr w:type="gramEnd"/>
      <w:r>
        <w:rPr>
          <w:rFonts w:eastAsia="Times New Roman"/>
        </w:rPr>
        <w:t xml:space="preserve">Об индексации ставок тарифов, сборов и платы за услуги, связанные с перевозкой грузов и предоставлением услуг инфраструктуры, выполняемые ОАО «АК «Железные дороги Якутии» (зарегистрирован Минюстом России 21 января </w:t>
      </w:r>
      <w:r>
        <w:rPr>
          <w:rFonts w:eastAsia="Times New Roman"/>
        </w:rPr>
        <w:t>2014 года, регистрационный № 31059) в части индексов на 2016-2018 годы.</w:t>
      </w:r>
    </w:p>
    <w:p w:rsidR="0082750C" w:rsidRDefault="004F04BC">
      <w:pPr>
        <w:pStyle w:val="ConsPlusNormal"/>
        <w:numPr>
          <w:ilvl w:val="1"/>
          <w:numId w:val="3"/>
        </w:numPr>
        <w:spacing w:line="360" w:lineRule="auto"/>
        <w:ind w:left="0" w:firstLine="540"/>
        <w:jc w:val="both"/>
        <w:rPr>
          <w:rFonts w:eastAsia="Times New Roman"/>
          <w:lang w:eastAsia="ru-RU"/>
        </w:rPr>
      </w:pPr>
      <w:bookmarkStart w:id="0" w:name="_GoBack"/>
      <w:bookmarkEnd w:id="0"/>
      <w:r>
        <w:rPr>
          <w:rFonts w:eastAsia="Times New Roman"/>
          <w:lang w:eastAsia="ru-RU"/>
        </w:rPr>
        <w:t>Настоящий приказ вступает в силу с 01 января 2016 года.</w:t>
      </w:r>
    </w:p>
    <w:p w:rsidR="0082750C" w:rsidRDefault="004F04BC">
      <w:pPr>
        <w:pStyle w:val="ConsPlusNormal"/>
        <w:spacing w:line="36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5. Контроль исполнения настоящего приказа возложить на заместителя руководителя ФАС России А.В. Редько.</w:t>
      </w:r>
    </w:p>
    <w:p w:rsidR="0082750C" w:rsidRDefault="0082750C">
      <w:pPr>
        <w:pStyle w:val="ConsPlusNormal"/>
        <w:ind w:firstLine="540"/>
        <w:jc w:val="both"/>
        <w:rPr>
          <w:rFonts w:eastAsia="Times New Roman"/>
          <w:lang w:eastAsia="ru-RU"/>
        </w:rPr>
      </w:pPr>
    </w:p>
    <w:p w:rsidR="0082750C" w:rsidRDefault="004F04BC">
      <w:pPr>
        <w:pStyle w:val="ConsPlusNormal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Руководитель</w:t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proofErr w:type="gramStart"/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 xml:space="preserve">  </w:t>
      </w:r>
      <w:r>
        <w:rPr>
          <w:rFonts w:eastAsia="Times New Roman"/>
          <w:lang w:eastAsia="ru-RU"/>
        </w:rPr>
        <w:tab/>
      </w:r>
      <w:proofErr w:type="gramEnd"/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  <w:t xml:space="preserve">          И.Ю. Артемьев</w:t>
      </w:r>
    </w:p>
    <w:p w:rsidR="0082750C" w:rsidRDefault="004F04BC">
      <w:pPr>
        <w:pStyle w:val="Standard"/>
        <w:autoSpaceDE w:val="0"/>
        <w:jc w:val="right"/>
        <w:textAlignment w:val="auto"/>
        <w:rPr>
          <w:rFonts w:eastAsia="Calibri" w:cs="Times New Roman"/>
          <w:color w:val="000000"/>
          <w:sz w:val="28"/>
          <w:szCs w:val="28"/>
          <w:lang w:eastAsia="en-US" w:bidi="ar-SA"/>
        </w:rPr>
      </w:pPr>
      <w:r>
        <w:rPr>
          <w:rFonts w:eastAsia="Calibri" w:cs="Times New Roman"/>
          <w:color w:val="000000"/>
          <w:sz w:val="28"/>
          <w:szCs w:val="28"/>
          <w:lang w:eastAsia="en-US" w:bidi="ar-SA"/>
        </w:rPr>
        <w:t xml:space="preserve">  Приложение</w:t>
      </w:r>
    </w:p>
    <w:p w:rsidR="0082750C" w:rsidRDefault="004F04BC">
      <w:pPr>
        <w:pStyle w:val="Standard"/>
        <w:autoSpaceDE w:val="0"/>
        <w:jc w:val="right"/>
        <w:textAlignment w:val="auto"/>
        <w:rPr>
          <w:rFonts w:eastAsia="Calibri" w:cs="Times New Roman"/>
          <w:color w:val="000000"/>
          <w:sz w:val="28"/>
          <w:szCs w:val="28"/>
          <w:lang w:eastAsia="en-US" w:bidi="ar-SA"/>
        </w:rPr>
      </w:pPr>
      <w:proofErr w:type="gramStart"/>
      <w:r>
        <w:rPr>
          <w:rFonts w:eastAsia="Calibri" w:cs="Times New Roman"/>
          <w:color w:val="000000"/>
          <w:sz w:val="28"/>
          <w:szCs w:val="28"/>
          <w:lang w:eastAsia="en-US" w:bidi="ar-SA"/>
        </w:rPr>
        <w:t>к</w:t>
      </w:r>
      <w:proofErr w:type="gramEnd"/>
      <w:r>
        <w:rPr>
          <w:rFonts w:eastAsia="Calibri" w:cs="Times New Roman"/>
          <w:color w:val="000000"/>
          <w:sz w:val="28"/>
          <w:szCs w:val="28"/>
          <w:lang w:eastAsia="en-US" w:bidi="ar-SA"/>
        </w:rPr>
        <w:t xml:space="preserve"> приказу ФАС России</w:t>
      </w:r>
    </w:p>
    <w:p w:rsidR="0082750C" w:rsidRDefault="004F04BC">
      <w:pPr>
        <w:pStyle w:val="Standard"/>
        <w:autoSpaceDE w:val="0"/>
        <w:jc w:val="both"/>
        <w:textAlignment w:val="auto"/>
        <w:rPr>
          <w:rFonts w:eastAsia="Calibri" w:cs="Times New Roman"/>
          <w:color w:val="000000"/>
          <w:sz w:val="28"/>
          <w:szCs w:val="28"/>
          <w:lang w:eastAsia="en-US" w:bidi="ar-SA"/>
        </w:rPr>
      </w:pPr>
      <w:r>
        <w:rPr>
          <w:rFonts w:eastAsia="Calibri" w:cs="Times New Roman"/>
          <w:color w:val="000000"/>
          <w:sz w:val="28"/>
          <w:szCs w:val="28"/>
          <w:lang w:eastAsia="en-US" w:bidi="ar-SA"/>
        </w:rPr>
        <w:t xml:space="preserve">  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ab/>
        <w:t xml:space="preserve">     </w:t>
      </w:r>
      <w:proofErr w:type="gramStart"/>
      <w:r>
        <w:rPr>
          <w:rFonts w:eastAsia="Calibri" w:cs="Times New Roman"/>
          <w:color w:val="000000"/>
          <w:sz w:val="28"/>
          <w:szCs w:val="28"/>
          <w:lang w:eastAsia="en-US" w:bidi="ar-SA"/>
        </w:rPr>
        <w:t>от</w:t>
      </w:r>
      <w:proofErr w:type="gramEnd"/>
      <w:r>
        <w:rPr>
          <w:rFonts w:eastAsia="Calibri" w:cs="Times New Roman"/>
          <w:color w:val="000000"/>
          <w:sz w:val="28"/>
          <w:szCs w:val="28"/>
          <w:lang w:eastAsia="en-US" w:bidi="ar-SA"/>
        </w:rPr>
        <w:t>________2015 года №___</w:t>
      </w:r>
    </w:p>
    <w:p w:rsidR="0082750C" w:rsidRDefault="0082750C">
      <w:pPr>
        <w:pStyle w:val="ConsPlusNormal"/>
        <w:jc w:val="center"/>
        <w:rPr>
          <w:rFonts w:eastAsia="Times New Roman"/>
          <w:lang w:eastAsia="ru-RU"/>
        </w:rPr>
      </w:pPr>
    </w:p>
    <w:p w:rsidR="0082750C" w:rsidRDefault="004F04BC">
      <w:pPr>
        <w:pStyle w:val="ConsPlusNormal"/>
        <w:jc w:val="center"/>
        <w:rPr>
          <w:rFonts w:eastAsia="Times New Roman"/>
          <w:lang w:eastAsia="ru-RU"/>
        </w:rPr>
      </w:pPr>
      <w:bookmarkStart w:id="1" w:name="P35"/>
      <w:bookmarkEnd w:id="1"/>
      <w:r>
        <w:rPr>
          <w:rFonts w:eastAsia="Times New Roman"/>
          <w:lang w:eastAsia="ru-RU"/>
        </w:rPr>
        <w:t>ИНДЕКСЫ</w:t>
      </w:r>
    </w:p>
    <w:p w:rsidR="0082750C" w:rsidRDefault="004F04BC">
      <w:pPr>
        <w:pStyle w:val="ConsPlusNormal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 СТАВКАМ ТАРИФОВ, СБОРОВ И ПЛАТЫ, ОПРЕДЕЛЯЕМЫМ ПО ПРАВИЛАМ ТАРИФНОГО РУКОВОДСТВА</w:t>
      </w:r>
    </w:p>
    <w:p w:rsidR="0082750C" w:rsidRDefault="0082750C">
      <w:pPr>
        <w:pStyle w:val="ConsPlusNormal"/>
        <w:jc w:val="both"/>
        <w:rPr>
          <w:rFonts w:eastAsia="Times New Roman"/>
          <w:lang w:eastAsia="ru-RU"/>
        </w:rPr>
      </w:pPr>
    </w:p>
    <w:tbl>
      <w:tblPr>
        <w:tblW w:w="9684" w:type="dxa"/>
        <w:tblInd w:w="-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5759"/>
        <w:gridCol w:w="1275"/>
        <w:gridCol w:w="1276"/>
        <w:gridCol w:w="834"/>
      </w:tblGrid>
      <w:tr w:rsidR="0082750C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№ п/п</w:t>
            </w:r>
          </w:p>
        </w:tc>
        <w:tc>
          <w:tcPr>
            <w:tcW w:w="5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Ставки сборов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2016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2017 год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2018 год</w:t>
            </w:r>
          </w:p>
        </w:tc>
      </w:tr>
      <w:tr w:rsidR="0082750C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5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Ставки </w:t>
            </w:r>
            <w:r>
              <w:rPr>
                <w:rFonts w:eastAsia="Times New Roman"/>
                <w:lang w:eastAsia="ru-RU"/>
              </w:rPr>
              <w:t>тарифов, сборов и платы на перевозки грузов и порожних собственных (арендованных) вагонов и контейнеров, а также на услуги инфраструктуры, определяемые в соответствии с приложением к Тарифному руководству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2,093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2,187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750C" w:rsidRDefault="004F04BC">
            <w:pPr>
              <w:pStyle w:val="ConsPlusNormal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2,277</w:t>
            </w:r>
          </w:p>
        </w:tc>
      </w:tr>
    </w:tbl>
    <w:p w:rsidR="0082750C" w:rsidRDefault="0082750C">
      <w:pPr>
        <w:pStyle w:val="Standard"/>
        <w:autoSpaceDE w:val="0"/>
        <w:jc w:val="both"/>
        <w:textAlignment w:val="auto"/>
        <w:rPr>
          <w:rFonts w:cs="Times New Roman"/>
          <w:sz w:val="28"/>
          <w:szCs w:val="28"/>
          <w:lang w:eastAsia="ru-RU" w:bidi="ar-SA"/>
        </w:rPr>
      </w:pPr>
    </w:p>
    <w:p w:rsidR="0082750C" w:rsidRDefault="0082750C">
      <w:pPr>
        <w:pStyle w:val="ConsPlusNormal"/>
        <w:spacing w:line="360" w:lineRule="auto"/>
        <w:ind w:firstLine="540"/>
        <w:jc w:val="both"/>
      </w:pPr>
    </w:p>
    <w:p w:rsidR="0082750C" w:rsidRDefault="0082750C">
      <w:pPr>
        <w:pStyle w:val="ConsPlusNormal"/>
        <w:spacing w:line="360" w:lineRule="auto"/>
        <w:ind w:firstLine="540"/>
        <w:jc w:val="both"/>
      </w:pPr>
    </w:p>
    <w:p w:rsidR="0082750C" w:rsidRDefault="0082750C">
      <w:pPr>
        <w:pStyle w:val="ConsPlusNormal"/>
        <w:spacing w:line="360" w:lineRule="auto"/>
        <w:ind w:firstLine="540"/>
        <w:jc w:val="both"/>
      </w:pPr>
    </w:p>
    <w:p w:rsidR="0082750C" w:rsidRDefault="0082750C">
      <w:pPr>
        <w:pStyle w:val="ConsPlusNormal"/>
        <w:spacing w:line="360" w:lineRule="auto"/>
        <w:ind w:hanging="12"/>
        <w:jc w:val="both"/>
      </w:pPr>
    </w:p>
    <w:p w:rsidR="0082750C" w:rsidRDefault="0082750C">
      <w:pPr>
        <w:pStyle w:val="ConsPlusNormal"/>
        <w:spacing w:line="360" w:lineRule="auto"/>
        <w:ind w:firstLine="540"/>
        <w:jc w:val="both"/>
      </w:pPr>
    </w:p>
    <w:p w:rsidR="0082750C" w:rsidRDefault="0082750C">
      <w:pPr>
        <w:pStyle w:val="ConsPlusNormal"/>
        <w:spacing w:line="360" w:lineRule="auto"/>
        <w:ind w:firstLine="540"/>
        <w:jc w:val="both"/>
      </w:pPr>
    </w:p>
    <w:p w:rsidR="0082750C" w:rsidRDefault="0082750C">
      <w:pPr>
        <w:pStyle w:val="Standard"/>
        <w:spacing w:line="360" w:lineRule="auto"/>
      </w:pPr>
    </w:p>
    <w:sectPr w:rsidR="0082750C">
      <w:footerReference w:type="default" r:id="rId7"/>
      <w:footerReference w:type="first" r:id="rId8"/>
      <w:pgSz w:w="11906" w:h="16838"/>
      <w:pgMar w:top="1134" w:right="1134" w:bottom="1700" w:left="1134" w:header="720" w:footer="141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4BC" w:rsidRDefault="004F04BC">
      <w:r>
        <w:separator/>
      </w:r>
    </w:p>
  </w:endnote>
  <w:endnote w:type="continuationSeparator" w:id="0">
    <w:p w:rsidR="004F04BC" w:rsidRDefault="004F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DB8" w:rsidRDefault="004F04BC">
    <w:pPr>
      <w:pStyle w:val="a5"/>
      <w:jc w:val="right"/>
    </w:pPr>
    <w:r>
      <w:rPr>
        <w:noProof/>
        <w:lang w:eastAsia="ru-RU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haracter">
                <wp:posOffset>179640</wp:posOffset>
              </wp:positionH>
              <wp:positionV relativeFrom="page">
                <wp:posOffset>10332000</wp:posOffset>
              </wp:positionV>
              <wp:extent cx="1728000" cy="0"/>
              <wp:effectExtent l="0" t="0" r="0" b="0"/>
              <wp:wrapSquare wrapText="bothSides"/>
              <wp:docPr id="1" name="SpdTextFram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00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213DB8" w:rsidRDefault="004F04BC">
                          <w:pPr>
                            <w:pStyle w:val="Framecontents"/>
                          </w:pPr>
                          <w:r>
                            <w:t>Идентификатор</w:t>
                          </w:r>
                        </w:p>
                      </w:txbxContent>
                    </wps:txbx>
                    <wps:bodyPr vert="horz" wrap="none" lIns="54000" tIns="179640" rIns="179640" bIns="5400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pdTextFrame" o:spid="_x0000_s1026" type="#_x0000_t202" style="position:absolute;margin-left:14.15pt;margin-top:813.55pt;width:136.05pt;height:0;z-index:251659264;visibility:visible;mso-wrap-style:none;mso-wrap-distance-left:9pt;mso-wrap-distance-top:0;mso-wrap-distance-right:9pt;mso-wrap-distance-bottom:0;mso-position-horizontal:absolute;mso-position-horizontal-relative:char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" filled="f" stroked="f">
              <v:textbox style="mso-fit-shape-to-text:t" inset="1.5mm,4.99mm,4.99mm,1.5mm">
                <w:txbxContent>
                  <w:p w:rsidR="00213DB8" w:rsidRDefault="004F04BC">
                    <w:pPr>
                      <w:pStyle w:val="Framecontents"/>
                    </w:pPr>
                    <w:r>
                      <w:t>Идентификатор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DB8" w:rsidRDefault="004F04BC">
    <w:pPr>
      <w:pStyle w:val="a5"/>
      <w:jc w:val="right"/>
    </w:pPr>
    <w:r>
      <w:rPr>
        <w:noProof/>
        <w:lang w:eastAsia="ru-RU" w:bidi="ar-SA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align>top</wp:align>
          </wp:positionV>
          <wp:extent cx="1296000" cy="280800"/>
          <wp:effectExtent l="0" t="0" r="0" b="4950"/>
          <wp:wrapTopAndBottom/>
          <wp:docPr id="2" name="SpdBarco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-50000"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6000" cy="28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u-RU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haracter">
                <wp:posOffset>179640</wp:posOffset>
              </wp:positionH>
              <wp:positionV relativeFrom="page">
                <wp:posOffset>10332000</wp:posOffset>
              </wp:positionV>
              <wp:extent cx="1728000" cy="0"/>
              <wp:effectExtent l="0" t="0" r="0" b="0"/>
              <wp:wrapSquare wrapText="bothSides"/>
              <wp:docPr id="3" name="SpdText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00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213DB8" w:rsidRDefault="004F04BC">
                          <w:pPr>
                            <w:pStyle w:val="Framecontents"/>
                          </w:pPr>
                          <w:r>
                            <w:t>Идентификатор</w:t>
                          </w:r>
                        </w:p>
                      </w:txbxContent>
                    </wps:txbx>
                    <wps:bodyPr vert="horz" wrap="none" lIns="54000" tIns="179640" rIns="179640" bIns="5400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pdTextFrame1" o:spid="_x0000_s1027" type="#_x0000_t202" style="position:absolute;margin-left:14.15pt;margin-top:813.55pt;width:136.05pt;height:0;z-index:251661312;visibility:visible;mso-wrap-style:none;mso-wrap-distance-left:9pt;mso-wrap-distance-top:0;mso-wrap-distance-right:9pt;mso-wrap-distance-bottom:0;mso-position-horizontal:absolute;mso-position-horizontal-relative:char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" filled="f" stroked="f">
              <v:textbox style="mso-fit-shape-to-text:t" inset="1.5mm,4.99mm,4.99mm,1.5mm">
                <w:txbxContent>
                  <w:p w:rsidR="00213DB8" w:rsidRDefault="004F04BC">
                    <w:pPr>
                      <w:pStyle w:val="Framecontents"/>
                    </w:pPr>
                    <w:r>
                      <w:t>Идентификатор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4BC" w:rsidRDefault="004F04BC">
      <w:r>
        <w:rPr>
          <w:color w:val="000000"/>
        </w:rPr>
        <w:separator/>
      </w:r>
    </w:p>
  </w:footnote>
  <w:footnote w:type="continuationSeparator" w:id="0">
    <w:p w:rsidR="004F04BC" w:rsidRDefault="004F0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25C31"/>
    <w:multiLevelType w:val="multilevel"/>
    <w:tmpl w:val="236671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3F380937"/>
    <w:multiLevelType w:val="multilevel"/>
    <w:tmpl w:val="79AAEAB6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2">
    <w:nsid w:val="71AD51D5"/>
    <w:multiLevelType w:val="multilevel"/>
    <w:tmpl w:val="4F5E22A2"/>
    <w:styleLink w:val="RTFNum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82750C"/>
    <w:rsid w:val="004F04BC"/>
    <w:rsid w:val="0082750C"/>
    <w:rsid w:val="00E2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264EE-DFA1-452E-9992-CD4CF0574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Textbody"/>
  </w:style>
  <w:style w:type="paragraph" w:customStyle="1" w:styleId="ConsPlusNormal">
    <w:name w:val="ConsPlusNormal"/>
    <w:pPr>
      <w:autoSpaceDE w:val="0"/>
      <w:textAlignment w:val="auto"/>
    </w:pPr>
    <w:rPr>
      <w:rFonts w:eastAsia="Calibri" w:cs="Times New Roman"/>
      <w:sz w:val="28"/>
      <w:szCs w:val="28"/>
      <w:lang w:eastAsia="en-US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6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7">
    <w:name w:val="Âåðõíèé êîëîíòèòóë Çíàê"/>
    <w:basedOn w:val="a0"/>
    <w:rPr>
      <w:rFonts w:cs="Times New Roman"/>
      <w:sz w:val="24"/>
      <w:szCs w:val="24"/>
    </w:rPr>
  </w:style>
  <w:style w:type="character" w:customStyle="1" w:styleId="NumberingSymbols">
    <w:name w:val="Numbering Symbols"/>
  </w:style>
  <w:style w:type="numbering" w:customStyle="1" w:styleId="RTFNum2">
    <w:name w:val="RTF_Num 2"/>
    <w:basedOn w:val="a2"/>
    <w:pPr>
      <w:numPr>
        <w:numId w:val="1"/>
      </w:numPr>
    </w:pPr>
  </w:style>
  <w:style w:type="numbering" w:customStyle="1" w:styleId="RTFNum3">
    <w:name w:val="RTF_Num 3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Жердев Олег Сергеевич</dc:creator>
  <cp:lastModifiedBy>Жердев Олег Сергеевич</cp:lastModifiedBy>
  <cp:revision>2</cp:revision>
  <cp:lastPrinted>2015-12-02T14:57:00Z</cp:lastPrinted>
  <dcterms:created xsi:type="dcterms:W3CDTF">2015-12-02T12:21:00Z</dcterms:created>
  <dcterms:modified xsi:type="dcterms:W3CDTF">2015-12-02T12:21:00Z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